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2415" w:vertAnchor="page" w:horzAnchor="margin" w:tblpY="1135"/>
        <w:tblW w:w="995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04"/>
        <w:gridCol w:w="3723"/>
        <w:gridCol w:w="2924"/>
      </w:tblGrid>
      <w:tr w:rsidR="00E57DB5" w:rsidRPr="00E57DB5" w:rsidTr="00B62119">
        <w:trPr>
          <w:cantSplit/>
          <w:trHeight w:val="274"/>
        </w:trPr>
        <w:tc>
          <w:tcPr>
            <w:tcW w:w="9951" w:type="dxa"/>
            <w:gridSpan w:val="3"/>
            <w:tcBorders>
              <w:top w:val="nil"/>
              <w:left w:val="nil"/>
              <w:right w:val="nil"/>
            </w:tcBorders>
          </w:tcPr>
          <w:p w:rsidR="00E57DB5" w:rsidRPr="00E57DB5" w:rsidRDefault="00E57DB5" w:rsidP="00E57DB5">
            <w:pPr>
              <w:spacing w:line="400" w:lineRule="exact"/>
              <w:jc w:val="center"/>
              <w:rPr>
                <w:rFonts w:ascii="標楷體" w:eastAsia="標楷體" w:hAnsi="Times New Roman" w:cs="Times New Roman"/>
                <w:b/>
                <w:sz w:val="40"/>
                <w:szCs w:val="40"/>
              </w:rPr>
            </w:pPr>
            <w:r w:rsidRPr="00E57DB5">
              <w:rPr>
                <w:rFonts w:ascii="標楷體" w:eastAsia="標楷體" w:hAnsi="標楷體" w:cs="Times New Roman" w:hint="eastAsia"/>
                <w:b/>
                <w:sz w:val="40"/>
                <w:szCs w:val="40"/>
              </w:rPr>
              <w:t>中 華 大 學</w:t>
            </w:r>
          </w:p>
        </w:tc>
      </w:tr>
      <w:tr w:rsidR="00E57DB5" w:rsidRPr="00E57DB5" w:rsidTr="00B62119">
        <w:trPr>
          <w:cantSplit/>
          <w:trHeight w:val="397"/>
        </w:trPr>
        <w:tc>
          <w:tcPr>
            <w:tcW w:w="3304" w:type="dxa"/>
            <w:vAlign w:val="center"/>
          </w:tcPr>
          <w:p w:rsidR="00E57DB5" w:rsidRPr="00E57DB5" w:rsidRDefault="00E57DB5" w:rsidP="00E57DB5">
            <w:pPr>
              <w:jc w:val="both"/>
              <w:rPr>
                <w:rFonts w:ascii="標楷體" w:eastAsia="標楷體" w:hAnsi="Times New Roman" w:cs="Times New Roman"/>
                <w:szCs w:val="24"/>
              </w:rPr>
            </w:pPr>
            <w:r w:rsidRPr="00E57DB5">
              <w:rPr>
                <w:rFonts w:ascii="標楷體" w:eastAsia="標楷體" w:hAnsi="Times New Roman" w:cs="Times New Roman" w:hint="eastAsia"/>
                <w:szCs w:val="24"/>
              </w:rPr>
              <w:t xml:space="preserve">製定單位：資訊管理學系 </w:t>
            </w:r>
          </w:p>
        </w:tc>
        <w:tc>
          <w:tcPr>
            <w:tcW w:w="3723" w:type="dxa"/>
            <w:vMerge w:val="restart"/>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資訊管理學系碩士在職專班</w:t>
            </w:r>
          </w:p>
          <w:p w:rsidR="00E57DB5" w:rsidRPr="00E57DB5" w:rsidRDefault="00E57DB5" w:rsidP="00E57DB5">
            <w:pPr>
              <w:jc w:val="center"/>
              <w:rPr>
                <w:rFonts w:ascii="標楷體" w:eastAsia="標楷體" w:hAnsi="Times New Roman" w:cs="Times New Roman"/>
                <w:szCs w:val="24"/>
              </w:rPr>
            </w:pPr>
            <w:r w:rsidRPr="00E57DB5">
              <w:rPr>
                <w:rFonts w:ascii="標楷體" w:eastAsia="標楷體" w:hAnsi="標楷體" w:cs="Times New Roman" w:hint="eastAsia"/>
                <w:szCs w:val="24"/>
              </w:rPr>
              <w:t>106級修業規定</w:t>
            </w:r>
          </w:p>
        </w:tc>
        <w:tc>
          <w:tcPr>
            <w:tcW w:w="2924" w:type="dxa"/>
            <w:vAlign w:val="center"/>
          </w:tcPr>
          <w:p w:rsidR="00E57DB5" w:rsidRPr="00E57DB5" w:rsidRDefault="00E57DB5" w:rsidP="00E57DB5">
            <w:pPr>
              <w:rPr>
                <w:rFonts w:ascii="標楷體" w:eastAsia="標楷體" w:hAnsi="Times New Roman" w:cs="Times New Roman"/>
                <w:szCs w:val="24"/>
              </w:rPr>
            </w:pPr>
            <w:r w:rsidRPr="00E57DB5">
              <w:rPr>
                <w:rFonts w:ascii="標楷體" w:eastAsia="標楷體" w:hAnsi="Times New Roman" w:cs="Times New Roman" w:hint="eastAsia"/>
                <w:szCs w:val="24"/>
              </w:rPr>
              <w:t xml:space="preserve">文件編號： </w:t>
            </w:r>
            <w:r w:rsidRPr="00E57DB5">
              <w:rPr>
                <w:rFonts w:ascii="Times New Roman" w:eastAsia="標楷體" w:hAnsi="Times New Roman" w:cs="Times New Roman" w:hint="eastAsia"/>
                <w:color w:val="FF0000"/>
                <w:szCs w:val="24"/>
              </w:rPr>
              <w:t xml:space="preserve"> </w:t>
            </w:r>
            <w:r w:rsidRPr="00E57DB5">
              <w:rPr>
                <w:rFonts w:ascii="標楷體" w:eastAsia="標楷體" w:hAnsi="標楷體" w:cs="Times New Roman" w:hint="eastAsia"/>
                <w:szCs w:val="24"/>
              </w:rPr>
              <w:t>IA2</w:t>
            </w:r>
            <w:r w:rsidRPr="00E57DB5">
              <w:rPr>
                <w:rFonts w:ascii="標楷體" w:eastAsia="標楷體" w:hAnsi="Times New Roman" w:cs="Times New Roman" w:hint="eastAsia"/>
                <w:szCs w:val="24"/>
              </w:rPr>
              <w:t>-3-012</w:t>
            </w:r>
          </w:p>
        </w:tc>
      </w:tr>
      <w:tr w:rsidR="00E57DB5" w:rsidRPr="00E57DB5" w:rsidTr="00B62119">
        <w:trPr>
          <w:cantSplit/>
          <w:trHeight w:val="397"/>
        </w:trPr>
        <w:tc>
          <w:tcPr>
            <w:tcW w:w="3304" w:type="dxa"/>
            <w:vAlign w:val="center"/>
          </w:tcPr>
          <w:p w:rsidR="00E57DB5" w:rsidRPr="00E57DB5" w:rsidRDefault="00E57DB5" w:rsidP="00E57DB5">
            <w:pPr>
              <w:rPr>
                <w:rFonts w:ascii="標楷體" w:eastAsia="標楷體" w:hAnsi="Times New Roman" w:cs="Times New Roman"/>
                <w:szCs w:val="24"/>
              </w:rPr>
            </w:pPr>
            <w:r w:rsidRPr="00E57DB5">
              <w:rPr>
                <w:rFonts w:ascii="標楷體" w:eastAsia="標楷體" w:hAnsi="Times New Roman" w:cs="Times New Roman" w:hint="eastAsia"/>
                <w:szCs w:val="24"/>
              </w:rPr>
              <w:t>公佈日期：</w:t>
            </w:r>
            <w:r w:rsidR="007D0093">
              <w:rPr>
                <w:rFonts w:ascii="標楷體" w:eastAsia="標楷體" w:hAnsi="Times New Roman" w:cs="Times New Roman" w:hint="eastAsia"/>
                <w:color w:val="000000"/>
                <w:szCs w:val="24"/>
              </w:rPr>
              <w:t>108</w:t>
            </w:r>
            <w:r w:rsidRPr="00E57DB5">
              <w:rPr>
                <w:rFonts w:ascii="Times New Roman" w:eastAsia="標楷體" w:hAnsi="Times New Roman" w:cs="Times New Roman"/>
                <w:color w:val="000000"/>
                <w:szCs w:val="24"/>
              </w:rPr>
              <w:t>年</w:t>
            </w:r>
            <w:r w:rsidR="007D0093">
              <w:rPr>
                <w:rFonts w:ascii="Times New Roman" w:eastAsia="標楷體" w:hAnsi="Times New Roman" w:cs="Times New Roman" w:hint="eastAsia"/>
                <w:color w:val="000000"/>
                <w:szCs w:val="24"/>
              </w:rPr>
              <w:t>05</w:t>
            </w:r>
            <w:r w:rsidRPr="00E57DB5">
              <w:rPr>
                <w:rFonts w:ascii="標楷體" w:eastAsia="標楷體" w:hAnsi="標楷體" w:cs="Times New Roman"/>
                <w:color w:val="000000"/>
                <w:szCs w:val="24"/>
              </w:rPr>
              <w:t>月</w:t>
            </w:r>
            <w:r w:rsidR="007D0093" w:rsidRPr="007D0093">
              <w:rPr>
                <w:rFonts w:ascii="Times New Roman" w:eastAsia="標楷體" w:hAnsi="Times New Roman" w:cs="Times New Roman"/>
                <w:color w:val="000000"/>
                <w:szCs w:val="24"/>
              </w:rPr>
              <w:t>27</w:t>
            </w:r>
            <w:r w:rsidRPr="00E57DB5">
              <w:rPr>
                <w:rFonts w:ascii="標楷體" w:eastAsia="標楷體" w:hAnsi="標楷體" w:cs="Times New Roman"/>
                <w:color w:val="000000"/>
                <w:szCs w:val="24"/>
              </w:rPr>
              <w:t>日</w:t>
            </w:r>
          </w:p>
        </w:tc>
        <w:tc>
          <w:tcPr>
            <w:tcW w:w="3723" w:type="dxa"/>
            <w:vMerge/>
            <w:vAlign w:val="center"/>
          </w:tcPr>
          <w:p w:rsidR="00E57DB5" w:rsidRPr="00E57DB5" w:rsidRDefault="00E57DB5" w:rsidP="00E57DB5">
            <w:pPr>
              <w:rPr>
                <w:rFonts w:ascii="標楷體" w:eastAsia="標楷體" w:hAnsi="Times New Roman" w:cs="Times New Roman"/>
                <w:szCs w:val="24"/>
              </w:rPr>
            </w:pPr>
          </w:p>
        </w:tc>
        <w:tc>
          <w:tcPr>
            <w:tcW w:w="2924" w:type="dxa"/>
            <w:vAlign w:val="center"/>
          </w:tcPr>
          <w:p w:rsidR="00E57DB5" w:rsidRPr="00E57DB5" w:rsidRDefault="00E57DB5" w:rsidP="00E57DB5">
            <w:pPr>
              <w:jc w:val="both"/>
              <w:rPr>
                <w:rFonts w:ascii="標楷體" w:eastAsia="標楷體" w:hAnsi="Times New Roman" w:cs="Times New Roman"/>
                <w:szCs w:val="24"/>
              </w:rPr>
            </w:pPr>
            <w:r w:rsidRPr="00E57DB5">
              <w:rPr>
                <w:rFonts w:ascii="標楷體" w:eastAsia="標楷體" w:hAnsi="Times New Roman" w:cs="Times New Roman" w:hint="eastAsia"/>
                <w:szCs w:val="24"/>
              </w:rPr>
              <w:t xml:space="preserve">頁次：1 </w:t>
            </w:r>
          </w:p>
        </w:tc>
      </w:tr>
    </w:tbl>
    <w:p w:rsidR="00FC643C" w:rsidRDefault="00FC643C" w:rsidP="00E57DB5">
      <w:pPr>
        <w:jc w:val="right"/>
        <w:rPr>
          <w:rFonts w:ascii="Times New Roman" w:eastAsia="標楷體" w:hAnsi="標楷體" w:cs="Times New Roman"/>
          <w:szCs w:val="24"/>
        </w:rPr>
      </w:pPr>
    </w:p>
    <w:p w:rsidR="00E57DB5" w:rsidRPr="00E57DB5" w:rsidRDefault="00E57DB5" w:rsidP="00E57DB5">
      <w:pPr>
        <w:jc w:val="right"/>
        <w:rPr>
          <w:rFonts w:ascii="Times New Roman" w:eastAsia="標楷體" w:hAnsi="標楷體" w:cs="Times New Roman"/>
          <w:szCs w:val="24"/>
        </w:rPr>
      </w:pPr>
      <w:r w:rsidRPr="00E57DB5">
        <w:rPr>
          <w:rFonts w:ascii="Times New Roman" w:eastAsia="標楷體" w:hAnsi="標楷體" w:cs="Times New Roman" w:hint="eastAsia"/>
          <w:szCs w:val="24"/>
        </w:rPr>
        <w:t>105.5.16 104</w:t>
      </w:r>
      <w:r w:rsidRPr="00E57DB5">
        <w:rPr>
          <w:rFonts w:ascii="Times New Roman" w:eastAsia="標楷體" w:hAnsi="標楷體" w:cs="Times New Roman" w:hint="eastAsia"/>
          <w:szCs w:val="24"/>
        </w:rPr>
        <w:t>學年度第</w:t>
      </w:r>
      <w:r w:rsidRPr="00E57DB5">
        <w:rPr>
          <w:rFonts w:ascii="Times New Roman" w:eastAsia="標楷體" w:hAnsi="標楷體" w:cs="Times New Roman" w:hint="eastAsia"/>
          <w:szCs w:val="24"/>
        </w:rPr>
        <w:t>12</w:t>
      </w:r>
      <w:r w:rsidRPr="00E57DB5">
        <w:rPr>
          <w:rFonts w:ascii="Times New Roman" w:eastAsia="標楷體" w:hAnsi="標楷體" w:cs="Times New Roman" w:hint="eastAsia"/>
          <w:szCs w:val="24"/>
        </w:rPr>
        <w:t>次課程規劃委員會議</w:t>
      </w:r>
      <w:r w:rsidRPr="00E57DB5">
        <w:rPr>
          <w:rFonts w:ascii="標楷體" w:eastAsia="標楷體" w:hAnsi="標楷體" w:cs="Times New Roman" w:hint="eastAsia"/>
          <w:szCs w:val="24"/>
        </w:rPr>
        <w:t>通</w:t>
      </w:r>
      <w:r w:rsidRPr="00E57DB5">
        <w:rPr>
          <w:rFonts w:ascii="Times New Roman" w:eastAsia="標楷體" w:hAnsi="標楷體" w:cs="Times New Roman" w:hint="eastAsia"/>
          <w:szCs w:val="24"/>
        </w:rPr>
        <w:t>過</w:t>
      </w:r>
    </w:p>
    <w:p w:rsidR="00E57DB5" w:rsidRPr="00E57DB5" w:rsidRDefault="00E57DB5" w:rsidP="00E57DB5">
      <w:pPr>
        <w:jc w:val="right"/>
        <w:rPr>
          <w:rFonts w:ascii="Times New Roman" w:eastAsia="標楷體" w:hAnsi="標楷體" w:cs="Times New Roman"/>
          <w:szCs w:val="24"/>
        </w:rPr>
      </w:pPr>
      <w:r w:rsidRPr="00E57DB5">
        <w:rPr>
          <w:rFonts w:ascii="Times New Roman" w:eastAsia="標楷體" w:hAnsi="Times New Roman" w:cs="Times New Roman" w:hint="eastAsia"/>
          <w:color w:val="000000"/>
          <w:szCs w:val="24"/>
        </w:rPr>
        <w:t>105.05.23</w:t>
      </w:r>
      <w:r w:rsidRPr="00E57DB5">
        <w:rPr>
          <w:rFonts w:ascii="標楷體" w:eastAsia="標楷體" w:hAnsi="標楷體" w:cs="Times New Roman" w:hint="eastAsia"/>
          <w:szCs w:val="24"/>
        </w:rPr>
        <w:t xml:space="preserve"> </w:t>
      </w:r>
      <w:r w:rsidRPr="00E57DB5">
        <w:rPr>
          <w:rFonts w:ascii="Times New Roman" w:eastAsia="標楷體" w:hAnsi="Times New Roman" w:cs="Times New Roman" w:hint="eastAsia"/>
          <w:color w:val="000000"/>
          <w:szCs w:val="24"/>
        </w:rPr>
        <w:t>104</w:t>
      </w:r>
      <w:r w:rsidRPr="00E57DB5">
        <w:rPr>
          <w:rFonts w:ascii="標楷體" w:eastAsia="標楷體" w:hAnsi="標楷體" w:cs="Times New Roman" w:hint="eastAsia"/>
          <w:szCs w:val="24"/>
        </w:rPr>
        <w:t>學年度第10次系</w:t>
      </w:r>
      <w:proofErr w:type="gramStart"/>
      <w:r w:rsidRPr="00E57DB5">
        <w:rPr>
          <w:rFonts w:ascii="標楷體" w:eastAsia="標楷體" w:hAnsi="標楷體" w:cs="Times New Roman" w:hint="eastAsia"/>
          <w:szCs w:val="24"/>
        </w:rPr>
        <w:t>務</w:t>
      </w:r>
      <w:proofErr w:type="gramEnd"/>
      <w:r w:rsidRPr="00E57DB5">
        <w:rPr>
          <w:rFonts w:ascii="標楷體" w:eastAsia="標楷體" w:hAnsi="標楷體" w:cs="Times New Roman" w:hint="eastAsia"/>
          <w:szCs w:val="24"/>
        </w:rPr>
        <w:t>會議通</w:t>
      </w:r>
      <w:r w:rsidRPr="00E57DB5">
        <w:rPr>
          <w:rFonts w:ascii="Times New Roman" w:eastAsia="標楷體" w:hAnsi="標楷體" w:cs="Times New Roman" w:hint="eastAsia"/>
          <w:szCs w:val="24"/>
        </w:rPr>
        <w:t>過</w:t>
      </w:r>
    </w:p>
    <w:p w:rsidR="00E57DB5" w:rsidRDefault="00E57DB5" w:rsidP="00E57DB5">
      <w:pPr>
        <w:jc w:val="right"/>
        <w:rPr>
          <w:rFonts w:ascii="Times New Roman" w:eastAsia="標楷體" w:hAnsi="標楷體" w:cs="Times New Roman"/>
          <w:szCs w:val="24"/>
        </w:rPr>
      </w:pPr>
      <w:r w:rsidRPr="00E57DB5">
        <w:rPr>
          <w:rFonts w:ascii="Times New Roman" w:eastAsia="標楷體" w:hAnsi="標楷體" w:cs="Times New Roman" w:hint="eastAsia"/>
          <w:szCs w:val="24"/>
        </w:rPr>
        <w:t>105.10.31 105</w:t>
      </w:r>
      <w:r w:rsidRPr="00E57DB5">
        <w:rPr>
          <w:rFonts w:ascii="Times New Roman" w:eastAsia="標楷體" w:hAnsi="標楷體" w:cs="Times New Roman" w:hint="eastAsia"/>
          <w:szCs w:val="24"/>
        </w:rPr>
        <w:t>學年度第</w:t>
      </w:r>
      <w:r w:rsidRPr="00E57DB5">
        <w:rPr>
          <w:rFonts w:ascii="Times New Roman" w:eastAsia="標楷體" w:hAnsi="標楷體" w:cs="Times New Roman" w:hint="eastAsia"/>
          <w:szCs w:val="24"/>
        </w:rPr>
        <w:t>3</w:t>
      </w:r>
      <w:r w:rsidRPr="00E57DB5">
        <w:rPr>
          <w:rFonts w:ascii="Times New Roman" w:eastAsia="標楷體" w:hAnsi="標楷體" w:cs="Times New Roman" w:hint="eastAsia"/>
          <w:szCs w:val="24"/>
        </w:rPr>
        <w:t>次課程規劃委員會議</w:t>
      </w:r>
      <w:r>
        <w:rPr>
          <w:rFonts w:eastAsia="標楷體" w:hAnsi="標楷體" w:hint="eastAsia"/>
        </w:rPr>
        <w:t>通過</w:t>
      </w:r>
    </w:p>
    <w:p w:rsidR="00E57DB5" w:rsidRDefault="00E57DB5" w:rsidP="00E57DB5">
      <w:pPr>
        <w:jc w:val="right"/>
        <w:rPr>
          <w:rFonts w:eastAsia="標楷體" w:hAnsi="標楷體"/>
        </w:rPr>
      </w:pPr>
      <w:r>
        <w:rPr>
          <w:rFonts w:eastAsia="標楷體" w:hAnsi="標楷體" w:hint="eastAsia"/>
        </w:rPr>
        <w:t>105.11.7  105</w:t>
      </w:r>
      <w:r>
        <w:rPr>
          <w:rFonts w:eastAsia="標楷體" w:hAnsi="標楷體" w:hint="eastAsia"/>
        </w:rPr>
        <w:t>學年度第</w:t>
      </w:r>
      <w:r>
        <w:rPr>
          <w:rFonts w:eastAsia="標楷體" w:hAnsi="標楷體" w:hint="eastAsia"/>
        </w:rPr>
        <w:t>4</w:t>
      </w:r>
      <w:r>
        <w:rPr>
          <w:rFonts w:eastAsia="標楷體" w:hAnsi="標楷體" w:hint="eastAsia"/>
        </w:rPr>
        <w:t>次系</w:t>
      </w:r>
      <w:proofErr w:type="gramStart"/>
      <w:r>
        <w:rPr>
          <w:rFonts w:eastAsia="標楷體" w:hAnsi="標楷體" w:hint="eastAsia"/>
        </w:rPr>
        <w:t>務</w:t>
      </w:r>
      <w:proofErr w:type="gramEnd"/>
      <w:r>
        <w:rPr>
          <w:rFonts w:eastAsia="標楷體" w:hAnsi="標楷體" w:hint="eastAsia"/>
        </w:rPr>
        <w:t>會議修訂通過</w:t>
      </w:r>
    </w:p>
    <w:p w:rsidR="00E57DB5" w:rsidRPr="00E57DB5" w:rsidRDefault="007D0093" w:rsidP="00E57DB5">
      <w:pPr>
        <w:jc w:val="right"/>
        <w:rPr>
          <w:rFonts w:ascii="Times New Roman" w:eastAsia="標楷體" w:hAnsi="標楷體" w:cs="Times New Roman"/>
          <w:szCs w:val="24"/>
        </w:rPr>
      </w:pPr>
      <w:r>
        <w:rPr>
          <w:rFonts w:ascii="Times New Roman" w:eastAsia="標楷體" w:hAnsi="標楷體" w:cs="Times New Roman" w:hint="eastAsia"/>
          <w:szCs w:val="24"/>
        </w:rPr>
        <w:t>108.05.27  107</w:t>
      </w:r>
      <w:r>
        <w:rPr>
          <w:rFonts w:ascii="Times New Roman" w:eastAsia="標楷體" w:hAnsi="標楷體" w:cs="Times New Roman" w:hint="eastAsia"/>
          <w:szCs w:val="24"/>
        </w:rPr>
        <w:t>學年度第</w:t>
      </w:r>
      <w:r>
        <w:rPr>
          <w:rFonts w:ascii="Times New Roman" w:eastAsia="標楷體" w:hAnsi="標楷體" w:cs="Times New Roman" w:hint="eastAsia"/>
          <w:szCs w:val="24"/>
        </w:rPr>
        <w:t>13</w:t>
      </w:r>
      <w:r>
        <w:rPr>
          <w:rFonts w:ascii="Times New Roman" w:eastAsia="標楷體" w:hAnsi="標楷體" w:cs="Times New Roman" w:hint="eastAsia"/>
          <w:szCs w:val="24"/>
        </w:rPr>
        <w:t>次臨時系務會議修訂通過</w:t>
      </w:r>
      <w:bookmarkStart w:id="0" w:name="_GoBack"/>
      <w:bookmarkEnd w:id="0"/>
    </w:p>
    <w:p w:rsidR="00E57DB5" w:rsidRPr="00E57DB5" w:rsidRDefault="00E57DB5" w:rsidP="00E57DB5">
      <w:pPr>
        <w:snapToGrid w:val="0"/>
        <w:spacing w:line="240" w:lineRule="exact"/>
        <w:ind w:leftChars="-50" w:left="180" w:hangingChars="150" w:hanging="300"/>
        <w:jc w:val="right"/>
        <w:rPr>
          <w:rFonts w:ascii="Times New Roman" w:eastAsia="標楷體" w:hAnsi="Times New Roman" w:cs="Times New Roman"/>
          <w:color w:val="000000"/>
          <w:sz w:val="20"/>
          <w:szCs w:val="20"/>
        </w:rPr>
      </w:pPr>
    </w:p>
    <w:p w:rsidR="00E57DB5" w:rsidRPr="00E57DB5" w:rsidRDefault="00E57DB5" w:rsidP="00E57DB5">
      <w:pPr>
        <w:numPr>
          <w:ilvl w:val="0"/>
          <w:numId w:val="1"/>
        </w:numPr>
        <w:rPr>
          <w:rFonts w:ascii="標楷體" w:eastAsia="標楷體" w:hAnsi="標楷體" w:cs="Times New Roman"/>
          <w:szCs w:val="24"/>
        </w:rPr>
      </w:pPr>
      <w:r w:rsidRPr="00E57DB5">
        <w:rPr>
          <w:rFonts w:ascii="標楷體" w:eastAsia="標楷體" w:hAnsi="標楷體" w:cs="Times New Roman" w:hint="eastAsia"/>
          <w:szCs w:val="24"/>
        </w:rPr>
        <w:t>依據「中華大學</w:t>
      </w:r>
      <w:proofErr w:type="gramStart"/>
      <w:r w:rsidRPr="00E57DB5">
        <w:rPr>
          <w:rFonts w:ascii="標楷體" w:eastAsia="標楷體" w:hAnsi="標楷體" w:cs="Times New Roman" w:hint="eastAsia"/>
          <w:szCs w:val="24"/>
        </w:rPr>
        <w:t>學</w:t>
      </w:r>
      <w:proofErr w:type="gramEnd"/>
      <w:r w:rsidRPr="00E57DB5">
        <w:rPr>
          <w:rFonts w:ascii="標楷體" w:eastAsia="標楷體" w:hAnsi="標楷體" w:cs="Times New Roman" w:hint="eastAsia"/>
          <w:szCs w:val="24"/>
        </w:rPr>
        <w:t>則」訂定資訊管理學系(以下簡稱本系)碩士在職專班修業規定(以</w:t>
      </w:r>
    </w:p>
    <w:p w:rsidR="00E57DB5" w:rsidRPr="00E57DB5" w:rsidRDefault="00E57DB5" w:rsidP="00E57DB5">
      <w:pPr>
        <w:ind w:left="960"/>
        <w:rPr>
          <w:rFonts w:ascii="標楷體" w:eastAsia="標楷體" w:hAnsi="標楷體" w:cs="新細明體"/>
          <w:kern w:val="0"/>
          <w:szCs w:val="24"/>
        </w:rPr>
      </w:pPr>
      <w:r w:rsidRPr="00E57DB5">
        <w:rPr>
          <w:rFonts w:ascii="標楷體" w:eastAsia="標楷體" w:hAnsi="標楷體" w:cs="Times New Roman" w:hint="eastAsia"/>
          <w:szCs w:val="24"/>
        </w:rPr>
        <w:t>下簡稱本規定)。</w:t>
      </w:r>
    </w:p>
    <w:p w:rsidR="00E57DB5" w:rsidRPr="00E57DB5" w:rsidRDefault="00E57DB5" w:rsidP="00E57DB5">
      <w:pPr>
        <w:numPr>
          <w:ilvl w:val="0"/>
          <w:numId w:val="2"/>
        </w:numPr>
        <w:rPr>
          <w:rFonts w:ascii="Times New Roman" w:eastAsia="新細明體" w:hAnsi="標楷體" w:cs="Times New Roman"/>
          <w:b/>
          <w:bCs/>
          <w:color w:val="000000"/>
          <w:szCs w:val="24"/>
        </w:rPr>
      </w:pPr>
      <w:r w:rsidRPr="00E57DB5">
        <w:rPr>
          <w:rFonts w:ascii="標楷體" w:eastAsia="標楷體" w:hAnsi="標楷體" w:cs="新細明體" w:hint="eastAsia"/>
          <w:kern w:val="0"/>
          <w:szCs w:val="24"/>
        </w:rPr>
        <w:t>本系碩士在職專班學生之課程規劃內容依本系碩士在職專班課程規劃表辦理，</w:t>
      </w:r>
      <w:r w:rsidRPr="00E57DB5">
        <w:rPr>
          <w:rFonts w:ascii="標楷體" w:eastAsia="標楷體" w:hAnsi="標楷體" w:cs="新細明體"/>
          <w:kern w:val="0"/>
          <w:szCs w:val="24"/>
        </w:rPr>
        <w:t>畢業總學分為</w:t>
      </w:r>
      <w:r w:rsidRPr="004E62B9">
        <w:rPr>
          <w:rFonts w:ascii="標楷體" w:eastAsia="標楷體" w:hAnsi="標楷體" w:cs="新細明體" w:hint="eastAsia"/>
          <w:color w:val="000000" w:themeColor="text1"/>
          <w:kern w:val="0"/>
          <w:szCs w:val="24"/>
          <w:u w:val="single"/>
        </w:rPr>
        <w:t>30</w:t>
      </w:r>
      <w:r w:rsidRPr="004E62B9">
        <w:rPr>
          <w:rFonts w:ascii="標楷體" w:eastAsia="標楷體" w:hAnsi="標楷體" w:cs="新細明體"/>
          <w:color w:val="000000" w:themeColor="text1"/>
          <w:kern w:val="0"/>
          <w:szCs w:val="24"/>
        </w:rPr>
        <w:t>學分</w:t>
      </w:r>
      <w:r w:rsidRPr="004E62B9">
        <w:rPr>
          <w:rFonts w:ascii="標楷體" w:eastAsia="標楷體" w:hAnsi="標楷體" w:cs="新細明體" w:hint="eastAsia"/>
          <w:color w:val="000000" w:themeColor="text1"/>
          <w:kern w:val="0"/>
          <w:szCs w:val="24"/>
        </w:rPr>
        <w:t>，</w:t>
      </w:r>
      <w:r w:rsidRPr="004E62B9">
        <w:rPr>
          <w:rFonts w:ascii="標楷體" w:eastAsia="標楷體" w:hAnsi="標楷體" w:cs="Times New Roman" w:hint="eastAsia"/>
          <w:color w:val="000000" w:themeColor="text1"/>
          <w:szCs w:val="24"/>
        </w:rPr>
        <w:t>必修科目論文指導與研究</w:t>
      </w:r>
      <w:r w:rsidRPr="004E62B9">
        <w:rPr>
          <w:rFonts w:ascii="標楷體" w:eastAsia="標楷體" w:hAnsi="標楷體" w:cs="Times New Roman" w:hint="eastAsia"/>
          <w:b/>
          <w:color w:val="000000" w:themeColor="text1"/>
          <w:szCs w:val="24"/>
          <w:u w:val="single"/>
        </w:rPr>
        <w:t>2</w:t>
      </w:r>
      <w:r w:rsidRPr="004E62B9">
        <w:rPr>
          <w:rFonts w:ascii="標楷體" w:eastAsia="標楷體" w:hAnsi="標楷體" w:cs="Times New Roman" w:hint="eastAsia"/>
          <w:color w:val="000000" w:themeColor="text1"/>
          <w:szCs w:val="24"/>
        </w:rPr>
        <w:t>學期</w:t>
      </w:r>
      <w:r w:rsidRPr="004E62B9">
        <w:rPr>
          <w:rFonts w:ascii="標楷體" w:eastAsia="標楷體" w:hAnsi="標楷體" w:cs="Times New Roman" w:hint="eastAsia"/>
          <w:b/>
          <w:color w:val="000000" w:themeColor="text1"/>
          <w:szCs w:val="24"/>
          <w:u w:val="single"/>
        </w:rPr>
        <w:t>6</w:t>
      </w:r>
      <w:r w:rsidRPr="004E62B9">
        <w:rPr>
          <w:rFonts w:ascii="標楷體" w:eastAsia="標楷體" w:hAnsi="標楷體" w:cs="Times New Roman" w:hint="eastAsia"/>
          <w:color w:val="000000" w:themeColor="text1"/>
          <w:szCs w:val="24"/>
        </w:rPr>
        <w:t>學分以及選修課程</w:t>
      </w:r>
      <w:r w:rsidRPr="004E62B9">
        <w:rPr>
          <w:rFonts w:ascii="標楷體" w:eastAsia="標楷體" w:hAnsi="標楷體" w:cs="Times New Roman" w:hint="eastAsia"/>
          <w:color w:val="000000" w:themeColor="text1"/>
          <w:szCs w:val="24"/>
          <w:u w:val="single"/>
        </w:rPr>
        <w:t>24</w:t>
      </w:r>
      <w:r w:rsidRPr="004E62B9">
        <w:rPr>
          <w:rFonts w:ascii="標楷體" w:eastAsia="標楷體" w:hAnsi="標楷體" w:cs="Times New Roman" w:hint="eastAsia"/>
          <w:color w:val="000000" w:themeColor="text1"/>
          <w:szCs w:val="24"/>
        </w:rPr>
        <w:t>學分，共計</w:t>
      </w:r>
      <w:r w:rsidRPr="004E62B9">
        <w:rPr>
          <w:rFonts w:ascii="標楷體" w:eastAsia="標楷體" w:hAnsi="標楷體" w:cs="新細明體" w:hint="eastAsia"/>
          <w:color w:val="000000" w:themeColor="text1"/>
          <w:kern w:val="0"/>
          <w:szCs w:val="24"/>
          <w:u w:val="single"/>
        </w:rPr>
        <w:t>30</w:t>
      </w:r>
      <w:r w:rsidRPr="00E57DB5">
        <w:rPr>
          <w:rFonts w:ascii="標楷體" w:eastAsia="標楷體" w:hAnsi="標楷體" w:cs="Times New Roman" w:hint="eastAsia"/>
          <w:szCs w:val="24"/>
        </w:rPr>
        <w:t>學分。</w:t>
      </w:r>
      <w:r w:rsidRPr="00E57DB5">
        <w:rPr>
          <w:rFonts w:ascii="標楷體" w:eastAsia="標楷體" w:hAnsi="標楷體" w:cs="Times New Roman" w:hint="eastAsia"/>
          <w:bCs/>
          <w:color w:val="000000"/>
          <w:szCs w:val="24"/>
        </w:rPr>
        <w:t>課程規劃表：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1"/>
        <w:gridCol w:w="1920"/>
        <w:gridCol w:w="2223"/>
        <w:gridCol w:w="2453"/>
        <w:gridCol w:w="2496"/>
      </w:tblGrid>
      <w:tr w:rsidR="00E57DB5" w:rsidRPr="00E57DB5" w:rsidTr="00B62119">
        <w:trPr>
          <w:cantSplit/>
          <w:jc w:val="center"/>
        </w:trPr>
        <w:tc>
          <w:tcPr>
            <w:tcW w:w="381" w:type="dxa"/>
            <w:vMerge w:val="restart"/>
            <w:vAlign w:val="center"/>
          </w:tcPr>
          <w:p w:rsidR="00E57DB5" w:rsidRPr="00E57DB5" w:rsidRDefault="00E57DB5" w:rsidP="00E57DB5">
            <w:pPr>
              <w:jc w:val="center"/>
              <w:rPr>
                <w:rFonts w:ascii="標楷體" w:eastAsia="標楷體" w:hAnsi="標楷體" w:cs="Times New Roman"/>
                <w:b/>
                <w:bCs/>
                <w:sz w:val="28"/>
                <w:szCs w:val="24"/>
              </w:rPr>
            </w:pPr>
          </w:p>
        </w:tc>
        <w:tc>
          <w:tcPr>
            <w:tcW w:w="4143" w:type="dxa"/>
            <w:gridSpan w:val="2"/>
            <w:vAlign w:val="center"/>
          </w:tcPr>
          <w:p w:rsidR="00E57DB5" w:rsidRPr="00E57DB5" w:rsidRDefault="00E57DB5" w:rsidP="00E57DB5">
            <w:pPr>
              <w:jc w:val="center"/>
              <w:rPr>
                <w:rFonts w:ascii="標楷體" w:eastAsia="標楷體" w:hAnsi="標楷體" w:cs="Times New Roman"/>
                <w:szCs w:val="24"/>
              </w:rPr>
            </w:pPr>
            <w:proofErr w:type="gramStart"/>
            <w:r w:rsidRPr="00E57DB5">
              <w:rPr>
                <w:rFonts w:ascii="標楷體" w:eastAsia="標楷體" w:hAnsi="標楷體" w:cs="Times New Roman" w:hint="eastAsia"/>
                <w:szCs w:val="24"/>
              </w:rPr>
              <w:t>研一</w:t>
            </w:r>
            <w:proofErr w:type="gramEnd"/>
          </w:p>
        </w:tc>
        <w:tc>
          <w:tcPr>
            <w:tcW w:w="4949" w:type="dxa"/>
            <w:gridSpan w:val="2"/>
            <w:vAlign w:val="center"/>
          </w:tcPr>
          <w:p w:rsidR="00E57DB5" w:rsidRPr="00E57DB5" w:rsidRDefault="00E57DB5" w:rsidP="00E57DB5">
            <w:pPr>
              <w:jc w:val="center"/>
              <w:rPr>
                <w:rFonts w:ascii="標楷體" w:eastAsia="標楷體" w:hAnsi="標楷體" w:cs="Times New Roman"/>
                <w:b/>
                <w:bCs/>
                <w:sz w:val="28"/>
                <w:szCs w:val="24"/>
              </w:rPr>
            </w:pPr>
            <w:proofErr w:type="gramStart"/>
            <w:r w:rsidRPr="00E57DB5">
              <w:rPr>
                <w:rFonts w:ascii="標楷體" w:eastAsia="標楷體" w:hAnsi="標楷體" w:cs="Times New Roman" w:hint="eastAsia"/>
                <w:szCs w:val="24"/>
              </w:rPr>
              <w:t>研</w:t>
            </w:r>
            <w:proofErr w:type="gramEnd"/>
            <w:r w:rsidRPr="00E57DB5">
              <w:rPr>
                <w:rFonts w:ascii="標楷體" w:eastAsia="標楷體" w:hAnsi="標楷體" w:cs="Times New Roman" w:hint="eastAsia"/>
                <w:szCs w:val="24"/>
              </w:rPr>
              <w:t>二</w:t>
            </w:r>
          </w:p>
        </w:tc>
      </w:tr>
      <w:tr w:rsidR="00E57DB5" w:rsidRPr="00E57DB5" w:rsidTr="00B62119">
        <w:trPr>
          <w:cantSplit/>
          <w:jc w:val="center"/>
        </w:trPr>
        <w:tc>
          <w:tcPr>
            <w:tcW w:w="381" w:type="dxa"/>
            <w:vMerge/>
            <w:vAlign w:val="center"/>
          </w:tcPr>
          <w:p w:rsidR="00E57DB5" w:rsidRPr="00E57DB5" w:rsidRDefault="00E57DB5" w:rsidP="00E57DB5">
            <w:pPr>
              <w:jc w:val="center"/>
              <w:rPr>
                <w:rFonts w:ascii="標楷體" w:eastAsia="標楷體" w:hAnsi="標楷體" w:cs="Times New Roman"/>
                <w:szCs w:val="24"/>
              </w:rPr>
            </w:pPr>
          </w:p>
        </w:tc>
        <w:tc>
          <w:tcPr>
            <w:tcW w:w="1920" w:type="dxa"/>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上學期</w:t>
            </w:r>
          </w:p>
        </w:tc>
        <w:tc>
          <w:tcPr>
            <w:tcW w:w="2223" w:type="dxa"/>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下學期</w:t>
            </w:r>
          </w:p>
        </w:tc>
        <w:tc>
          <w:tcPr>
            <w:tcW w:w="2453" w:type="dxa"/>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上學期</w:t>
            </w:r>
          </w:p>
        </w:tc>
        <w:tc>
          <w:tcPr>
            <w:tcW w:w="2496" w:type="dxa"/>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下學期</w:t>
            </w:r>
          </w:p>
        </w:tc>
      </w:tr>
      <w:tr w:rsidR="00E57DB5" w:rsidRPr="00E57DB5" w:rsidTr="00B62119">
        <w:trPr>
          <w:cantSplit/>
          <w:jc w:val="center"/>
        </w:trPr>
        <w:tc>
          <w:tcPr>
            <w:tcW w:w="381" w:type="dxa"/>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必</w:t>
            </w:r>
          </w:p>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修</w:t>
            </w:r>
          </w:p>
        </w:tc>
        <w:tc>
          <w:tcPr>
            <w:tcW w:w="1920" w:type="dxa"/>
          </w:tcPr>
          <w:p w:rsidR="00E57DB5" w:rsidRPr="00C5593A" w:rsidRDefault="00E57DB5" w:rsidP="00E57DB5">
            <w:pPr>
              <w:ind w:leftChars="25" w:left="60"/>
              <w:rPr>
                <w:rFonts w:ascii="標楷體" w:eastAsia="標楷體" w:hAnsi="標楷體" w:cs="Times New Roman"/>
                <w:szCs w:val="24"/>
              </w:rPr>
            </w:pPr>
          </w:p>
        </w:tc>
        <w:tc>
          <w:tcPr>
            <w:tcW w:w="2223" w:type="dxa"/>
          </w:tcPr>
          <w:p w:rsidR="00E57DB5" w:rsidRPr="00C5593A" w:rsidRDefault="00E57DB5" w:rsidP="00E57DB5">
            <w:pPr>
              <w:ind w:leftChars="25" w:left="60"/>
              <w:rPr>
                <w:rFonts w:ascii="標楷體" w:eastAsia="標楷體" w:hAnsi="標楷體" w:cs="Times New Roman"/>
                <w:szCs w:val="24"/>
              </w:rPr>
            </w:pPr>
          </w:p>
        </w:tc>
        <w:tc>
          <w:tcPr>
            <w:tcW w:w="2453" w:type="dxa"/>
          </w:tcPr>
          <w:p w:rsidR="00E57DB5" w:rsidRPr="00FC643C" w:rsidRDefault="00E57DB5" w:rsidP="00E57DB5">
            <w:pPr>
              <w:ind w:leftChars="25" w:left="60"/>
              <w:rPr>
                <w:rFonts w:ascii="標楷體" w:eastAsia="標楷體" w:hAnsi="標楷體" w:cs="Times New Roman"/>
                <w:szCs w:val="24"/>
              </w:rPr>
            </w:pPr>
            <w:r w:rsidRPr="00FC643C">
              <w:rPr>
                <w:rFonts w:ascii="標楷體" w:eastAsia="標楷體" w:hAnsi="標楷體" w:cs="Times New Roman" w:hint="eastAsia"/>
                <w:szCs w:val="24"/>
              </w:rPr>
              <w:t>論文指導與研究</w:t>
            </w:r>
            <w:r w:rsidRPr="00FC643C">
              <w:rPr>
                <w:rFonts w:ascii="標楷體" w:eastAsia="標楷體" w:hAnsi="標楷體" w:cs="Times New Roman"/>
                <w:szCs w:val="24"/>
              </w:rPr>
              <w:t xml:space="preserve"> </w:t>
            </w:r>
            <w:r w:rsidRPr="00FC643C">
              <w:rPr>
                <w:rFonts w:ascii="標楷體" w:eastAsia="標楷體" w:hAnsi="標楷體" w:cs="Times New Roman"/>
                <w:color w:val="000000" w:themeColor="text1"/>
                <w:szCs w:val="24"/>
              </w:rPr>
              <w:t>(</w:t>
            </w:r>
            <w:r w:rsidRPr="00FC643C">
              <w:rPr>
                <w:rFonts w:ascii="標楷體" w:eastAsia="標楷體" w:hAnsi="標楷體" w:cs="Times New Roman" w:hint="eastAsia"/>
                <w:color w:val="000000" w:themeColor="text1"/>
                <w:szCs w:val="24"/>
              </w:rPr>
              <w:t>3</w:t>
            </w:r>
            <w:r w:rsidRPr="00FC643C">
              <w:rPr>
                <w:rFonts w:ascii="標楷體" w:eastAsia="標楷體" w:hAnsi="標楷體" w:cs="Times New Roman"/>
                <w:color w:val="000000" w:themeColor="text1"/>
                <w:szCs w:val="24"/>
              </w:rPr>
              <w:t>)</w:t>
            </w:r>
          </w:p>
        </w:tc>
        <w:tc>
          <w:tcPr>
            <w:tcW w:w="2496" w:type="dxa"/>
          </w:tcPr>
          <w:p w:rsidR="00E57DB5" w:rsidRPr="00FC643C" w:rsidRDefault="00E57DB5" w:rsidP="00E57DB5">
            <w:pPr>
              <w:ind w:leftChars="25" w:left="60"/>
              <w:rPr>
                <w:rFonts w:ascii="標楷體" w:eastAsia="標楷體" w:hAnsi="標楷體" w:cs="Times New Roman"/>
                <w:szCs w:val="24"/>
              </w:rPr>
            </w:pPr>
            <w:r w:rsidRPr="00FC643C">
              <w:rPr>
                <w:rFonts w:ascii="標楷體" w:eastAsia="標楷體" w:hAnsi="標楷體" w:cs="Times New Roman" w:hint="eastAsia"/>
                <w:szCs w:val="24"/>
              </w:rPr>
              <w:t>論文指導與研究</w:t>
            </w:r>
            <w:r w:rsidRPr="00FC643C">
              <w:rPr>
                <w:rFonts w:ascii="標楷體" w:eastAsia="標楷體" w:hAnsi="標楷體" w:cs="Times New Roman"/>
                <w:color w:val="000000" w:themeColor="text1"/>
                <w:szCs w:val="24"/>
              </w:rPr>
              <w:t>(</w:t>
            </w:r>
            <w:r w:rsidRPr="00FC643C">
              <w:rPr>
                <w:rFonts w:ascii="標楷體" w:eastAsia="標楷體" w:hAnsi="標楷體" w:cs="Times New Roman" w:hint="eastAsia"/>
                <w:color w:val="000000" w:themeColor="text1"/>
                <w:szCs w:val="24"/>
              </w:rPr>
              <w:t>3</w:t>
            </w:r>
            <w:r w:rsidRPr="00FC643C">
              <w:rPr>
                <w:rFonts w:ascii="標楷體" w:eastAsia="標楷體" w:hAnsi="標楷體" w:cs="Times New Roman"/>
                <w:color w:val="000000" w:themeColor="text1"/>
                <w:szCs w:val="24"/>
              </w:rPr>
              <w:t>)</w:t>
            </w:r>
          </w:p>
        </w:tc>
      </w:tr>
      <w:tr w:rsidR="00E57DB5" w:rsidRPr="00E57DB5" w:rsidTr="00B62119">
        <w:trPr>
          <w:cantSplit/>
          <w:jc w:val="center"/>
        </w:trPr>
        <w:tc>
          <w:tcPr>
            <w:tcW w:w="381" w:type="dxa"/>
            <w:vAlign w:val="center"/>
          </w:tcPr>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選</w:t>
            </w:r>
          </w:p>
          <w:p w:rsidR="00E57DB5" w:rsidRPr="00E57DB5" w:rsidRDefault="00E57DB5" w:rsidP="00E57DB5">
            <w:pPr>
              <w:jc w:val="center"/>
              <w:rPr>
                <w:rFonts w:ascii="標楷體" w:eastAsia="標楷體" w:hAnsi="標楷體" w:cs="Times New Roman"/>
                <w:szCs w:val="24"/>
              </w:rPr>
            </w:pPr>
            <w:r w:rsidRPr="00E57DB5">
              <w:rPr>
                <w:rFonts w:ascii="標楷體" w:eastAsia="標楷體" w:hAnsi="標楷體" w:cs="Times New Roman" w:hint="eastAsia"/>
                <w:szCs w:val="24"/>
              </w:rPr>
              <w:t>修</w:t>
            </w:r>
          </w:p>
        </w:tc>
        <w:tc>
          <w:tcPr>
            <w:tcW w:w="9092" w:type="dxa"/>
            <w:gridSpan w:val="4"/>
            <w:vAlign w:val="center"/>
          </w:tcPr>
          <w:p w:rsidR="00E57DB5" w:rsidRPr="00C5593A" w:rsidRDefault="00E57DB5" w:rsidP="00E57DB5">
            <w:pPr>
              <w:ind w:leftChars="25" w:left="60"/>
              <w:rPr>
                <w:rFonts w:ascii="標楷體" w:eastAsia="標楷體" w:hAnsi="標楷體" w:cs="Times New Roman"/>
                <w:b/>
                <w:bCs/>
                <w:szCs w:val="24"/>
              </w:rPr>
            </w:pPr>
            <w:r w:rsidRPr="00C5593A">
              <w:rPr>
                <w:rFonts w:ascii="標楷體" w:eastAsia="標楷體" w:hAnsi="標楷體" w:cs="Times New Roman" w:hint="eastAsia"/>
                <w:color w:val="000000" w:themeColor="text1"/>
                <w:szCs w:val="24"/>
              </w:rPr>
              <w:t>24</w:t>
            </w:r>
            <w:r w:rsidRPr="00C5593A">
              <w:rPr>
                <w:rFonts w:ascii="標楷體" w:eastAsia="標楷體" w:hAnsi="標楷體" w:cs="Times New Roman" w:hint="eastAsia"/>
                <w:szCs w:val="24"/>
              </w:rPr>
              <w:t>學分。</w:t>
            </w:r>
          </w:p>
        </w:tc>
      </w:tr>
    </w:tbl>
    <w:p w:rsidR="00E57DB5" w:rsidRPr="004E62B9" w:rsidRDefault="00E57DB5" w:rsidP="00E57DB5">
      <w:pPr>
        <w:numPr>
          <w:ilvl w:val="0"/>
          <w:numId w:val="2"/>
        </w:numPr>
        <w:rPr>
          <w:rFonts w:ascii="標楷體" w:eastAsia="標楷體" w:hAnsi="標楷體" w:cs="Times New Roman"/>
          <w:color w:val="000000" w:themeColor="text1"/>
          <w:szCs w:val="24"/>
        </w:rPr>
      </w:pPr>
      <w:r w:rsidRPr="004E62B9">
        <w:rPr>
          <w:rFonts w:ascii="標楷體" w:eastAsia="標楷體" w:hAnsi="標楷體" w:cs="Times New Roman" w:hint="eastAsia"/>
          <w:bCs/>
          <w:color w:val="000000" w:themeColor="text1"/>
          <w:szCs w:val="24"/>
        </w:rPr>
        <w:t>修習</w:t>
      </w:r>
      <w:r w:rsidRPr="004E62B9">
        <w:rPr>
          <w:rFonts w:ascii="標楷體" w:eastAsia="標楷體" w:hAnsi="標楷體" w:cs="Times New Roman"/>
          <w:color w:val="000000" w:themeColor="text1"/>
          <w:szCs w:val="24"/>
        </w:rPr>
        <w:t>【學術研究</w:t>
      </w:r>
      <w:r w:rsidRPr="004E62B9">
        <w:rPr>
          <w:rFonts w:ascii="標楷體" w:eastAsia="標楷體" w:hAnsi="標楷體" w:cs="Times New Roman" w:hint="eastAsia"/>
          <w:color w:val="000000" w:themeColor="text1"/>
          <w:szCs w:val="24"/>
        </w:rPr>
        <w:t>倫</w:t>
      </w:r>
      <w:r w:rsidRPr="004E62B9">
        <w:rPr>
          <w:rFonts w:ascii="標楷體" w:eastAsia="標楷體" w:hAnsi="標楷體" w:cs="Times New Roman"/>
          <w:color w:val="000000" w:themeColor="text1"/>
          <w:szCs w:val="24"/>
        </w:rPr>
        <w:t>理】</w:t>
      </w:r>
      <w:r w:rsidRPr="004E62B9">
        <w:rPr>
          <w:rFonts w:ascii="標楷體" w:eastAsia="標楷體" w:hAnsi="標楷體" w:cs="Times New Roman" w:hint="eastAsia"/>
          <w:color w:val="000000" w:themeColor="text1"/>
          <w:szCs w:val="24"/>
        </w:rPr>
        <w:t>:所有研究生須於口試前</w:t>
      </w:r>
      <w:r w:rsidRPr="004E62B9">
        <w:rPr>
          <w:rFonts w:ascii="標楷體" w:eastAsia="標楷體" w:hAnsi="標楷體" w:cs="Times New Roman"/>
          <w:color w:val="000000" w:themeColor="text1"/>
          <w:szCs w:val="24"/>
        </w:rPr>
        <w:t>至「台灣學術倫理教育資源中心」網站通過測驗取得證書後始可參加口試</w:t>
      </w:r>
      <w:r w:rsidRPr="004E62B9">
        <w:rPr>
          <w:rFonts w:ascii="標楷體" w:eastAsia="標楷體" w:hAnsi="標楷體" w:cs="Times New Roman" w:hint="eastAsia"/>
          <w:color w:val="000000" w:themeColor="text1"/>
          <w:szCs w:val="24"/>
        </w:rPr>
        <w:t>。</w:t>
      </w:r>
    </w:p>
    <w:p w:rsidR="00E57DB5" w:rsidRPr="00E57DB5" w:rsidRDefault="00E57DB5" w:rsidP="00E57DB5">
      <w:pPr>
        <w:numPr>
          <w:ilvl w:val="0"/>
          <w:numId w:val="2"/>
        </w:numPr>
        <w:rPr>
          <w:rFonts w:ascii="標楷體" w:eastAsia="標楷體" w:hAnsi="標楷體" w:cs="Times New Roman"/>
          <w:szCs w:val="24"/>
        </w:rPr>
      </w:pPr>
      <w:r w:rsidRPr="00E57DB5">
        <w:rPr>
          <w:rFonts w:ascii="標楷體" w:eastAsia="標楷體" w:hAnsi="標楷體" w:cs="Times New Roman" w:hint="eastAsia"/>
          <w:szCs w:val="24"/>
        </w:rPr>
        <w:t>跨所選修必須要向系所提出申請，至多6學分。</w:t>
      </w:r>
    </w:p>
    <w:p w:rsidR="00E57DB5" w:rsidRPr="00E57DB5" w:rsidRDefault="00E57DB5" w:rsidP="00E57DB5">
      <w:pPr>
        <w:numPr>
          <w:ilvl w:val="0"/>
          <w:numId w:val="2"/>
        </w:numPr>
        <w:rPr>
          <w:rFonts w:ascii="標楷體" w:eastAsia="標楷體" w:hAnsi="標楷體" w:cs="Times New Roman"/>
          <w:szCs w:val="24"/>
        </w:rPr>
      </w:pPr>
      <w:r w:rsidRPr="00E57DB5">
        <w:rPr>
          <w:rFonts w:ascii="標楷體" w:eastAsia="標楷體" w:hAnsi="標楷體" w:cs="Times New Roman" w:hint="eastAsia"/>
          <w:szCs w:val="24"/>
        </w:rPr>
        <w:t>跨部選修必須要向系所提出申請。</w:t>
      </w:r>
    </w:p>
    <w:p w:rsidR="00E57DB5" w:rsidRPr="00E57DB5" w:rsidRDefault="00E57DB5" w:rsidP="00E57DB5">
      <w:pPr>
        <w:numPr>
          <w:ilvl w:val="0"/>
          <w:numId w:val="2"/>
        </w:numPr>
        <w:rPr>
          <w:rFonts w:ascii="標楷體" w:eastAsia="標楷體" w:hAnsi="標楷體" w:cs="Times New Roman"/>
          <w:szCs w:val="24"/>
        </w:rPr>
      </w:pPr>
      <w:r w:rsidRPr="00E57DB5">
        <w:rPr>
          <w:rFonts w:ascii="標楷體" w:eastAsia="標楷體" w:hAnsi="標楷體" w:cs="Times New Roman" w:hint="eastAsia"/>
          <w:szCs w:val="24"/>
        </w:rPr>
        <w:t xml:space="preserve">曾在其他研究所修習之學分，若符合本系碩士專班課程規劃抵免條件者，得於入學後 </w:t>
      </w:r>
    </w:p>
    <w:p w:rsidR="00E57DB5" w:rsidRPr="00E57DB5" w:rsidRDefault="00E57DB5" w:rsidP="00E57DB5">
      <w:pPr>
        <w:ind w:leftChars="400" w:left="960"/>
        <w:rPr>
          <w:rFonts w:ascii="標楷體" w:eastAsia="標楷體" w:hAnsi="標楷體" w:cs="Times New Roman"/>
          <w:szCs w:val="24"/>
        </w:rPr>
      </w:pPr>
      <w:r w:rsidRPr="00E57DB5">
        <w:rPr>
          <w:rFonts w:ascii="標楷體" w:eastAsia="標楷體" w:hAnsi="標楷體" w:cs="Times New Roman" w:hint="eastAsia"/>
          <w:szCs w:val="24"/>
        </w:rPr>
        <w:t>第一學期第一次加退選作業開始前，依規定提出學分抵免申請。(請見</w:t>
      </w:r>
      <w:r w:rsidRPr="00E57DB5">
        <w:rPr>
          <w:rFonts w:ascii="標楷體" w:eastAsia="標楷體" w:hAnsi="標楷體" w:cs="Times New Roman" w:hint="eastAsia"/>
          <w:bCs/>
          <w:szCs w:val="24"/>
        </w:rPr>
        <w:t>中華大學資訊管理學系學分抵免</w:t>
      </w:r>
      <w:r w:rsidRPr="00E57DB5">
        <w:rPr>
          <w:rFonts w:ascii="標楷體" w:eastAsia="標楷體" w:hAnsi="標楷體" w:cs="Times New Roman" w:hint="eastAsia"/>
          <w:bCs/>
          <w:color w:val="000000"/>
          <w:szCs w:val="24"/>
        </w:rPr>
        <w:t>審核</w:t>
      </w:r>
      <w:r w:rsidRPr="00E57DB5">
        <w:rPr>
          <w:rFonts w:ascii="標楷體" w:eastAsia="標楷體" w:hAnsi="標楷體" w:cs="Times New Roman" w:hint="eastAsia"/>
          <w:bCs/>
          <w:szCs w:val="24"/>
        </w:rPr>
        <w:t>辦法</w:t>
      </w:r>
      <w:r w:rsidRPr="00E57DB5">
        <w:rPr>
          <w:rFonts w:ascii="標楷體" w:eastAsia="標楷體" w:hAnsi="標楷體" w:cs="Times New Roman" w:hint="eastAsia"/>
          <w:szCs w:val="24"/>
        </w:rPr>
        <w:t>)</w:t>
      </w:r>
    </w:p>
    <w:p w:rsidR="00E57DB5" w:rsidRPr="00E57DB5" w:rsidRDefault="00E57DB5" w:rsidP="00E57DB5">
      <w:pPr>
        <w:ind w:left="960" w:hangingChars="400" w:hanging="960"/>
        <w:rPr>
          <w:rFonts w:ascii="標楷體" w:eastAsia="標楷體" w:hAnsi="標楷體" w:cs="新細明體"/>
          <w:kern w:val="0"/>
          <w:szCs w:val="24"/>
        </w:rPr>
      </w:pPr>
      <w:r w:rsidRPr="00E57DB5">
        <w:rPr>
          <w:rFonts w:ascii="標楷體" w:eastAsia="標楷體" w:hAnsi="標楷體" w:cs="新細明體" w:hint="eastAsia"/>
          <w:kern w:val="0"/>
          <w:szCs w:val="24"/>
        </w:rPr>
        <w:t xml:space="preserve">第七條  </w:t>
      </w:r>
      <w:r w:rsidRPr="00E57DB5">
        <w:rPr>
          <w:rFonts w:ascii="標楷體" w:eastAsia="標楷體" w:hAnsi="標楷體" w:cs="新細明體"/>
          <w:kern w:val="0"/>
          <w:szCs w:val="24"/>
        </w:rPr>
        <w:t>應於</w:t>
      </w:r>
      <w:proofErr w:type="gramStart"/>
      <w:r w:rsidRPr="00E57DB5">
        <w:rPr>
          <w:rFonts w:ascii="標楷體" w:eastAsia="標楷體" w:hAnsi="標楷體" w:cs="新細明體"/>
          <w:kern w:val="0"/>
          <w:szCs w:val="24"/>
        </w:rPr>
        <w:t>研一</w:t>
      </w:r>
      <w:proofErr w:type="gramEnd"/>
      <w:r w:rsidRPr="00E57DB5">
        <w:rPr>
          <w:rFonts w:ascii="標楷體" w:eastAsia="標楷體" w:hAnsi="標楷體" w:cs="新細明體"/>
          <w:kern w:val="0"/>
          <w:szCs w:val="24"/>
        </w:rPr>
        <w:t>上學期結束前擇定論文指導教師。期限內未</w:t>
      </w:r>
      <w:proofErr w:type="gramStart"/>
      <w:r w:rsidRPr="00E57DB5">
        <w:rPr>
          <w:rFonts w:ascii="標楷體" w:eastAsia="標楷體" w:hAnsi="標楷體" w:cs="新細明體"/>
          <w:kern w:val="0"/>
          <w:szCs w:val="24"/>
        </w:rPr>
        <w:t>擇定者</w:t>
      </w:r>
      <w:proofErr w:type="gramEnd"/>
      <w:r w:rsidRPr="00E57DB5">
        <w:rPr>
          <w:rFonts w:ascii="標楷體" w:eastAsia="標楷體" w:hAnsi="標楷體" w:cs="新細明體"/>
          <w:kern w:val="0"/>
          <w:szCs w:val="24"/>
        </w:rPr>
        <w:t>，由系主任指定之。論文指導教師以本系專任教師為原則。</w:t>
      </w:r>
    </w:p>
    <w:p w:rsidR="00E57DB5" w:rsidRPr="00E57DB5" w:rsidRDefault="00E57DB5" w:rsidP="006D3D61">
      <w:pPr>
        <w:tabs>
          <w:tab w:val="left" w:pos="1134"/>
        </w:tabs>
        <w:rPr>
          <w:rFonts w:ascii="標楷體" w:eastAsia="標楷體" w:hAnsi="標楷體" w:cs="新細明體"/>
          <w:kern w:val="0"/>
          <w:szCs w:val="24"/>
        </w:rPr>
      </w:pPr>
      <w:r w:rsidRPr="00E57DB5">
        <w:rPr>
          <w:rFonts w:ascii="標楷體" w:eastAsia="標楷體" w:hAnsi="標楷體" w:cs="新細明體" w:hint="eastAsia"/>
          <w:kern w:val="0"/>
          <w:szCs w:val="24"/>
        </w:rPr>
        <w:t xml:space="preserve">第八條 </w:t>
      </w:r>
      <w:r w:rsidR="006D3D61">
        <w:rPr>
          <w:rFonts w:ascii="標楷體" w:eastAsia="標楷體" w:hAnsi="標楷體" w:cs="新細明體" w:hint="eastAsia"/>
          <w:kern w:val="0"/>
          <w:szCs w:val="24"/>
        </w:rPr>
        <w:t xml:space="preserve"> </w:t>
      </w:r>
      <w:r w:rsidRPr="00E57DB5">
        <w:rPr>
          <w:rFonts w:ascii="標楷體" w:eastAsia="標楷體" w:hAnsi="標楷體" w:cs="新細明體"/>
          <w:kern w:val="0"/>
          <w:szCs w:val="24"/>
        </w:rPr>
        <w:t>經原論文指導教師或系主任同意後，得更換論文指導教師。必須經同一論文指導教師</w:t>
      </w:r>
      <w:r w:rsidR="0024688D">
        <w:rPr>
          <w:rFonts w:ascii="標楷體" w:eastAsia="標楷體" w:hAnsi="標楷體" w:cs="新細明體" w:hint="eastAsia"/>
          <w:kern w:val="0"/>
          <w:szCs w:val="24"/>
        </w:rPr>
        <w:t>連</w:t>
      </w:r>
    </w:p>
    <w:p w:rsidR="007D0093" w:rsidRPr="00E57DB5" w:rsidRDefault="00E57DB5" w:rsidP="006D3D61">
      <w:pPr>
        <w:tabs>
          <w:tab w:val="left" w:pos="1134"/>
        </w:tabs>
        <w:ind w:leftChars="413" w:left="991"/>
        <w:rPr>
          <w:rFonts w:ascii="標楷體" w:eastAsia="標楷體" w:hAnsi="標楷體" w:cs="新細明體"/>
          <w:kern w:val="0"/>
          <w:szCs w:val="24"/>
        </w:rPr>
      </w:pPr>
      <w:r w:rsidRPr="00E57DB5">
        <w:rPr>
          <w:rFonts w:ascii="標楷體" w:eastAsia="標楷體" w:hAnsi="標楷體" w:cs="新細明體"/>
          <w:kern w:val="0"/>
          <w:szCs w:val="24"/>
        </w:rPr>
        <w:t>續指導</w:t>
      </w:r>
      <w:proofErr w:type="gramStart"/>
      <w:r w:rsidRPr="00E57DB5">
        <w:rPr>
          <w:rFonts w:ascii="標楷體" w:eastAsia="標楷體" w:hAnsi="標楷體" w:cs="新細明體"/>
          <w:kern w:val="0"/>
          <w:szCs w:val="24"/>
        </w:rPr>
        <w:t>一</w:t>
      </w:r>
      <w:proofErr w:type="gramEnd"/>
      <w:r w:rsidRPr="00E57DB5">
        <w:rPr>
          <w:rFonts w:ascii="標楷體" w:eastAsia="標楷體" w:hAnsi="標楷體" w:cs="新細明體" w:hint="eastAsia"/>
          <w:kern w:val="0"/>
          <w:szCs w:val="24"/>
        </w:rPr>
        <w:t>學</w:t>
      </w:r>
      <w:r w:rsidRPr="00E57DB5">
        <w:rPr>
          <w:rFonts w:ascii="標楷體" w:eastAsia="標楷體" w:hAnsi="標楷體" w:cs="新細明體"/>
          <w:kern w:val="0"/>
          <w:szCs w:val="24"/>
        </w:rPr>
        <w:t>年以上，始具畢業資格，</w:t>
      </w:r>
      <w:r w:rsidR="007D0093" w:rsidRPr="007D0093">
        <w:rPr>
          <w:rFonts w:ascii="標楷體" w:eastAsia="標楷體" w:hAnsi="標楷體" w:cs="新細明體" w:hint="eastAsia"/>
          <w:kern w:val="0"/>
          <w:szCs w:val="24"/>
        </w:rPr>
        <w:t>惟若是因原指導教授職務異動或特殊狀況而需更換指導教授者不在此限。</w:t>
      </w:r>
    </w:p>
    <w:p w:rsidR="00E57DB5" w:rsidRDefault="00E57DB5" w:rsidP="006D3D61">
      <w:pPr>
        <w:numPr>
          <w:ilvl w:val="0"/>
          <w:numId w:val="3"/>
        </w:numPr>
        <w:adjustRightInd w:val="0"/>
        <w:snapToGrid w:val="0"/>
        <w:spacing w:after="100" w:afterAutospacing="1" w:line="360" w:lineRule="exact"/>
        <w:ind w:left="993" w:hanging="993"/>
        <w:jc w:val="both"/>
        <w:rPr>
          <w:rFonts w:ascii="標楷體" w:eastAsia="標楷體" w:hAnsi="標楷體" w:cs="Times New Roman"/>
          <w:szCs w:val="24"/>
        </w:rPr>
      </w:pPr>
      <w:r w:rsidRPr="00E57DB5">
        <w:rPr>
          <w:rFonts w:ascii="標楷體" w:eastAsia="標楷體" w:hAnsi="標楷體" w:cs="Times New Roman" w:hint="eastAsia"/>
          <w:szCs w:val="24"/>
        </w:rPr>
        <w:t>碩士在職專班研究生</w:t>
      </w:r>
      <w:r w:rsidRPr="00E57DB5">
        <w:rPr>
          <w:rFonts w:ascii="標楷體" w:eastAsia="標楷體" w:hAnsi="標楷體" w:cs="Times New Roman" w:hint="eastAsia"/>
          <w:bCs/>
          <w:szCs w:val="24"/>
        </w:rPr>
        <w:t>在規定年限內</w:t>
      </w:r>
      <w:r w:rsidRPr="00E57DB5">
        <w:rPr>
          <w:rFonts w:ascii="標楷體" w:eastAsia="標楷體" w:hAnsi="標楷體" w:cs="Times New Roman" w:hint="eastAsia"/>
          <w:szCs w:val="24"/>
        </w:rPr>
        <w:t>，修滿規定科目與學分，並完成論文</w:t>
      </w:r>
      <w:r w:rsidRPr="00E57DB5">
        <w:rPr>
          <w:rFonts w:ascii="Times New Roman" w:eastAsia="標楷體" w:hAnsi="Times New Roman" w:cs="Times New Roman" w:hint="eastAsia"/>
          <w:szCs w:val="24"/>
        </w:rPr>
        <w:t>或代替學位論文之技術報告</w:t>
      </w:r>
      <w:r w:rsidRPr="00E57DB5">
        <w:rPr>
          <w:rFonts w:ascii="標楷體" w:eastAsia="標楷體" w:hAnsi="標楷體" w:cs="Times New Roman" w:hint="eastAsia"/>
          <w:szCs w:val="24"/>
        </w:rPr>
        <w:t>，通過論文口試或技術報告口試後方准予畢業，授予資訊管理</w:t>
      </w:r>
      <w:r w:rsidR="0024688D">
        <w:rPr>
          <w:rFonts w:ascii="標楷體" w:eastAsia="標楷體" w:hAnsi="標楷體" w:cs="Times New Roman" w:hint="eastAsia"/>
          <w:szCs w:val="24"/>
        </w:rPr>
        <w:t>學</w:t>
      </w:r>
      <w:r w:rsidRPr="00E57DB5">
        <w:rPr>
          <w:rFonts w:ascii="標楷體" w:eastAsia="標楷體" w:hAnsi="標楷體" w:cs="Times New Roman" w:hint="eastAsia"/>
          <w:szCs w:val="24"/>
        </w:rPr>
        <w:t>碩士學位，發給學位</w:t>
      </w:r>
      <w:proofErr w:type="gramStart"/>
      <w:r w:rsidRPr="00E57DB5">
        <w:rPr>
          <w:rFonts w:ascii="標楷體" w:eastAsia="標楷體" w:hAnsi="標楷體" w:cs="Times New Roman" w:hint="eastAsia"/>
          <w:szCs w:val="24"/>
        </w:rPr>
        <w:t>証</w:t>
      </w:r>
      <w:proofErr w:type="gramEnd"/>
      <w:r w:rsidRPr="00E57DB5">
        <w:rPr>
          <w:rFonts w:ascii="標楷體" w:eastAsia="標楷體" w:hAnsi="標楷體" w:cs="Times New Roman" w:hint="eastAsia"/>
          <w:szCs w:val="24"/>
        </w:rPr>
        <w:t>書。</w:t>
      </w:r>
    </w:p>
    <w:p w:rsidR="00E57DB5" w:rsidRPr="006D3D61" w:rsidRDefault="00E57DB5" w:rsidP="00E57DB5">
      <w:pPr>
        <w:numPr>
          <w:ilvl w:val="0"/>
          <w:numId w:val="3"/>
        </w:numPr>
        <w:adjustRightInd w:val="0"/>
        <w:snapToGrid w:val="0"/>
        <w:spacing w:after="100" w:afterAutospacing="1" w:line="360" w:lineRule="exact"/>
        <w:ind w:left="993" w:hanging="993"/>
        <w:jc w:val="both"/>
        <w:rPr>
          <w:rFonts w:ascii="標楷體" w:eastAsia="標楷體" w:hAnsi="標楷體" w:cs="Times New Roman"/>
          <w:szCs w:val="24"/>
        </w:rPr>
      </w:pPr>
      <w:r w:rsidRPr="006D3D61">
        <w:rPr>
          <w:rFonts w:ascii="標楷體" w:eastAsia="標楷體" w:hAnsi="標楷體" w:cs="Times New Roman" w:hint="eastAsia"/>
          <w:szCs w:val="24"/>
        </w:rPr>
        <w:t>本規定經本系課程規劃委員會議通過及系務會議通過後實施，修正時亦同</w:t>
      </w:r>
      <w:r w:rsidRPr="006D3D61">
        <w:rPr>
          <w:rFonts w:ascii="標楷體" w:eastAsia="標楷體" w:hAnsi="標楷體" w:cs="新細明體"/>
          <w:kern w:val="0"/>
          <w:szCs w:val="24"/>
        </w:rPr>
        <w:t>。</w:t>
      </w:r>
    </w:p>
    <w:p w:rsidR="00E57DB5" w:rsidRPr="00E57DB5" w:rsidRDefault="00E57DB5" w:rsidP="00FC643C">
      <w:pPr>
        <w:tabs>
          <w:tab w:val="center" w:pos="4153"/>
          <w:tab w:val="right" w:pos="8306"/>
        </w:tabs>
        <w:snapToGrid w:val="0"/>
        <w:ind w:right="840"/>
        <w:jc w:val="center"/>
        <w:rPr>
          <w:rFonts w:ascii="新細明體" w:eastAsia="新細明體" w:hAnsi="新細明體" w:cs="Times New Roman"/>
          <w:b/>
          <w:bCs/>
          <w:sz w:val="28"/>
          <w:szCs w:val="28"/>
        </w:rPr>
        <w:sectPr w:rsidR="00E57DB5" w:rsidRPr="00E57DB5" w:rsidSect="00382E6D">
          <w:footerReference w:type="even" r:id="rId8"/>
          <w:footerReference w:type="default" r:id="rId9"/>
          <w:pgSz w:w="11906" w:h="16838"/>
          <w:pgMar w:top="567" w:right="1134" w:bottom="567" w:left="624" w:header="851" w:footer="992" w:gutter="0"/>
          <w:cols w:space="425"/>
          <w:docGrid w:type="linesAndChars" w:linePitch="360"/>
        </w:sectPr>
      </w:pPr>
    </w:p>
    <w:p w:rsidR="00847074" w:rsidRPr="00E86F38" w:rsidRDefault="00847074" w:rsidP="00E86F38">
      <w:pPr>
        <w:rPr>
          <w:b/>
        </w:rPr>
      </w:pPr>
    </w:p>
    <w:sectPr w:rsidR="00847074" w:rsidRPr="00E86F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9A" w:rsidRDefault="006C029A">
      <w:r>
        <w:separator/>
      </w:r>
    </w:p>
  </w:endnote>
  <w:endnote w:type="continuationSeparator" w:id="0">
    <w:p w:rsidR="006C029A" w:rsidRDefault="006C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9E" w:rsidRDefault="00E57DB5" w:rsidP="00382E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3179E" w:rsidRDefault="006C029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9E" w:rsidRDefault="00E57DB5" w:rsidP="00382E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0093">
      <w:rPr>
        <w:rStyle w:val="a5"/>
        <w:noProof/>
      </w:rPr>
      <w:t>1</w:t>
    </w:r>
    <w:r>
      <w:rPr>
        <w:rStyle w:val="a5"/>
      </w:rPr>
      <w:fldChar w:fldCharType="end"/>
    </w:r>
  </w:p>
  <w:p w:rsidR="00E3179E" w:rsidRDefault="006C02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9A" w:rsidRDefault="006C029A">
      <w:r>
        <w:separator/>
      </w:r>
    </w:p>
  </w:footnote>
  <w:footnote w:type="continuationSeparator" w:id="0">
    <w:p w:rsidR="006C029A" w:rsidRDefault="006C0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3CE"/>
    <w:multiLevelType w:val="hybridMultilevel"/>
    <w:tmpl w:val="53A40C00"/>
    <w:lvl w:ilvl="0" w:tplc="AE7A1920">
      <w:start w:val="2"/>
      <w:numFmt w:val="taiwaneseCountingThousand"/>
      <w:lvlText w:val="第%1條"/>
      <w:lvlJc w:val="left"/>
      <w:pPr>
        <w:tabs>
          <w:tab w:val="num" w:pos="960"/>
        </w:tabs>
        <w:ind w:left="960" w:hanging="9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2430A1"/>
    <w:multiLevelType w:val="hybridMultilevel"/>
    <w:tmpl w:val="A742412E"/>
    <w:lvl w:ilvl="0" w:tplc="8F040802">
      <w:start w:val="1"/>
      <w:numFmt w:val="taiwaneseCountingThousand"/>
      <w:lvlText w:val="第%1條"/>
      <w:lvlJc w:val="left"/>
      <w:pPr>
        <w:ind w:left="960" w:hanging="9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E562AF"/>
    <w:multiLevelType w:val="hybridMultilevel"/>
    <w:tmpl w:val="63D41628"/>
    <w:lvl w:ilvl="0" w:tplc="4860F74C">
      <w:start w:val="9"/>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B5"/>
    <w:rsid w:val="002310CA"/>
    <w:rsid w:val="0024688D"/>
    <w:rsid w:val="004E62B9"/>
    <w:rsid w:val="005F4601"/>
    <w:rsid w:val="00646BFD"/>
    <w:rsid w:val="006C029A"/>
    <w:rsid w:val="006D3D61"/>
    <w:rsid w:val="007D0093"/>
    <w:rsid w:val="008067A1"/>
    <w:rsid w:val="00847074"/>
    <w:rsid w:val="00C5593A"/>
    <w:rsid w:val="00E57DB5"/>
    <w:rsid w:val="00E86F38"/>
    <w:rsid w:val="00FC6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7DB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E57DB5"/>
    <w:rPr>
      <w:rFonts w:ascii="Times New Roman" w:eastAsia="新細明體" w:hAnsi="Times New Roman" w:cs="Times New Roman"/>
      <w:sz w:val="20"/>
      <w:szCs w:val="20"/>
    </w:rPr>
  </w:style>
  <w:style w:type="character" w:styleId="a5">
    <w:name w:val="page number"/>
    <w:basedOn w:val="a0"/>
    <w:rsid w:val="00E57DB5"/>
  </w:style>
  <w:style w:type="paragraph" w:styleId="a6">
    <w:name w:val="header"/>
    <w:basedOn w:val="a"/>
    <w:link w:val="a7"/>
    <w:uiPriority w:val="99"/>
    <w:unhideWhenUsed/>
    <w:rsid w:val="004E62B9"/>
    <w:pPr>
      <w:tabs>
        <w:tab w:val="center" w:pos="4153"/>
        <w:tab w:val="right" w:pos="8306"/>
      </w:tabs>
      <w:snapToGrid w:val="0"/>
    </w:pPr>
    <w:rPr>
      <w:sz w:val="20"/>
      <w:szCs w:val="20"/>
    </w:rPr>
  </w:style>
  <w:style w:type="character" w:customStyle="1" w:styleId="a7">
    <w:name w:val="頁首 字元"/>
    <w:basedOn w:val="a0"/>
    <w:link w:val="a6"/>
    <w:uiPriority w:val="99"/>
    <w:rsid w:val="004E62B9"/>
    <w:rPr>
      <w:sz w:val="20"/>
      <w:szCs w:val="20"/>
    </w:rPr>
  </w:style>
  <w:style w:type="paragraph" w:styleId="a8">
    <w:name w:val="Balloon Text"/>
    <w:basedOn w:val="a"/>
    <w:link w:val="a9"/>
    <w:uiPriority w:val="99"/>
    <w:semiHidden/>
    <w:unhideWhenUsed/>
    <w:rsid w:val="004E62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62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7DB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E57DB5"/>
    <w:rPr>
      <w:rFonts w:ascii="Times New Roman" w:eastAsia="新細明體" w:hAnsi="Times New Roman" w:cs="Times New Roman"/>
      <w:sz w:val="20"/>
      <w:szCs w:val="20"/>
    </w:rPr>
  </w:style>
  <w:style w:type="character" w:styleId="a5">
    <w:name w:val="page number"/>
    <w:basedOn w:val="a0"/>
    <w:rsid w:val="00E57DB5"/>
  </w:style>
  <w:style w:type="paragraph" w:styleId="a6">
    <w:name w:val="header"/>
    <w:basedOn w:val="a"/>
    <w:link w:val="a7"/>
    <w:uiPriority w:val="99"/>
    <w:unhideWhenUsed/>
    <w:rsid w:val="004E62B9"/>
    <w:pPr>
      <w:tabs>
        <w:tab w:val="center" w:pos="4153"/>
        <w:tab w:val="right" w:pos="8306"/>
      </w:tabs>
      <w:snapToGrid w:val="0"/>
    </w:pPr>
    <w:rPr>
      <w:sz w:val="20"/>
      <w:szCs w:val="20"/>
    </w:rPr>
  </w:style>
  <w:style w:type="character" w:customStyle="1" w:styleId="a7">
    <w:name w:val="頁首 字元"/>
    <w:basedOn w:val="a0"/>
    <w:link w:val="a6"/>
    <w:uiPriority w:val="99"/>
    <w:rsid w:val="004E62B9"/>
    <w:rPr>
      <w:sz w:val="20"/>
      <w:szCs w:val="20"/>
    </w:rPr>
  </w:style>
  <w:style w:type="paragraph" w:styleId="a8">
    <w:name w:val="Balloon Text"/>
    <w:basedOn w:val="a"/>
    <w:link w:val="a9"/>
    <w:uiPriority w:val="99"/>
    <w:semiHidden/>
    <w:unhideWhenUsed/>
    <w:rsid w:val="004E62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6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cp:lastModifiedBy>
  <cp:revision>8</cp:revision>
  <cp:lastPrinted>2017-04-18T00:54:00Z</cp:lastPrinted>
  <dcterms:created xsi:type="dcterms:W3CDTF">2017-03-24T07:29:00Z</dcterms:created>
  <dcterms:modified xsi:type="dcterms:W3CDTF">2019-05-28T03:31:00Z</dcterms:modified>
</cp:coreProperties>
</file>